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D8E" w:rsidRDefault="001E3D8E" w:rsidP="001E3D8E">
      <w:pPr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b/>
          <w:sz w:val="22"/>
          <w:szCs w:val="22"/>
        </w:rPr>
        <w:t>ANEXO “A-1”</w:t>
      </w:r>
    </w:p>
    <w:p w:rsidR="001E3D8E" w:rsidRDefault="001E3D8E" w:rsidP="001E3D8E">
      <w:pPr>
        <w:jc w:val="center"/>
        <w:rPr>
          <w:rFonts w:ascii="Arial" w:hAnsi="Arial" w:cs="Arial"/>
          <w:b/>
          <w:sz w:val="22"/>
          <w:szCs w:val="22"/>
        </w:rPr>
      </w:pPr>
    </w:p>
    <w:p w:rsidR="001E3D8E" w:rsidRDefault="001E3D8E" w:rsidP="001E3D8E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NORMATIVA LEGAL VIGENTE</w:t>
      </w:r>
    </w:p>
    <w:p w:rsidR="004600F0" w:rsidRDefault="004600F0" w:rsidP="001E3D8E">
      <w:pPr>
        <w:jc w:val="center"/>
        <w:rPr>
          <w:rFonts w:ascii="Arial" w:hAnsi="Arial" w:cs="Arial"/>
          <w:b/>
          <w:sz w:val="22"/>
          <w:szCs w:val="22"/>
        </w:rPr>
      </w:pPr>
    </w:p>
    <w:p w:rsidR="001E3D8E" w:rsidRDefault="001E3D8E" w:rsidP="001E3D8E">
      <w:pPr>
        <w:jc w:val="center"/>
        <w:rPr>
          <w:rFonts w:ascii="Arial" w:hAnsi="Arial" w:cs="Arial"/>
          <w:b/>
          <w:sz w:val="22"/>
          <w:szCs w:val="22"/>
        </w:rPr>
      </w:pPr>
    </w:p>
    <w:p w:rsidR="001E3D8E" w:rsidRDefault="001E3D8E" w:rsidP="001E3D8E">
      <w:pPr>
        <w:jc w:val="center"/>
        <w:rPr>
          <w:rFonts w:ascii="Arial" w:hAnsi="Arial" w:cs="Arial"/>
          <w:b/>
          <w:sz w:val="22"/>
          <w:szCs w:val="22"/>
        </w:rPr>
      </w:pPr>
    </w:p>
    <w:p w:rsidR="001E3D8E" w:rsidRDefault="001E3D8E" w:rsidP="001E3D8E">
      <w:pPr>
        <w:jc w:val="center"/>
        <w:rPr>
          <w:rFonts w:ascii="Arial" w:hAnsi="Arial" w:cs="Arial"/>
          <w:b/>
          <w:sz w:val="22"/>
          <w:szCs w:val="22"/>
        </w:rPr>
      </w:pPr>
    </w:p>
    <w:p w:rsidR="001E3D8E" w:rsidRPr="001E3D8E" w:rsidRDefault="001E3D8E" w:rsidP="001E3D8E">
      <w:pPr>
        <w:jc w:val="center"/>
        <w:rPr>
          <w:rFonts w:ascii="Arial" w:hAnsi="Arial" w:cs="Arial"/>
          <w:b/>
          <w:sz w:val="22"/>
          <w:szCs w:val="22"/>
        </w:rPr>
      </w:pPr>
    </w:p>
    <w:p w:rsidR="001E3D8E" w:rsidRDefault="001E3D8E" w:rsidP="001E3D8E">
      <w:pPr>
        <w:jc w:val="center"/>
        <w:rPr>
          <w:rFonts w:ascii="Arial" w:hAnsi="Arial" w:cs="Arial"/>
          <w:b/>
          <w:sz w:val="22"/>
          <w:szCs w:val="22"/>
        </w:rPr>
      </w:pPr>
      <w:r w:rsidRPr="001E3D8E">
        <w:rPr>
          <w:rFonts w:ascii="Arial" w:hAnsi="Arial" w:cs="Arial"/>
          <w:b/>
          <w:sz w:val="22"/>
          <w:szCs w:val="22"/>
        </w:rPr>
        <w:t>Compend</w:t>
      </w:r>
      <w:r>
        <w:rPr>
          <w:rFonts w:ascii="Arial" w:hAnsi="Arial" w:cs="Arial"/>
          <w:b/>
          <w:sz w:val="22"/>
          <w:szCs w:val="22"/>
        </w:rPr>
        <w:t>i</w:t>
      </w:r>
      <w:r w:rsidRPr="001E3D8E">
        <w:rPr>
          <w:rFonts w:ascii="Arial" w:hAnsi="Arial" w:cs="Arial"/>
          <w:b/>
          <w:sz w:val="22"/>
          <w:szCs w:val="22"/>
        </w:rPr>
        <w:t>o</w:t>
      </w:r>
      <w:r>
        <w:rPr>
          <w:rFonts w:ascii="Arial" w:hAnsi="Arial" w:cs="Arial"/>
          <w:b/>
          <w:sz w:val="22"/>
          <w:szCs w:val="22"/>
        </w:rPr>
        <w:t xml:space="preserve"> Normativo del Sector Eléctrico 1994 – Junio 2015 (TOMO I)</w:t>
      </w:r>
      <w:r w:rsidRPr="001E3D8E">
        <w:rPr>
          <w:rFonts w:ascii="Arial" w:hAnsi="Arial" w:cs="Arial"/>
          <w:b/>
          <w:sz w:val="22"/>
          <w:szCs w:val="22"/>
        </w:rPr>
        <w:t xml:space="preserve"> </w:t>
      </w:r>
    </w:p>
    <w:p w:rsidR="001E3D8E" w:rsidRDefault="001E3D8E" w:rsidP="001E3D8E">
      <w:pPr>
        <w:jc w:val="center"/>
        <w:rPr>
          <w:rFonts w:ascii="Arial" w:hAnsi="Arial" w:cs="Arial"/>
          <w:b/>
          <w:sz w:val="22"/>
          <w:szCs w:val="22"/>
        </w:rPr>
      </w:pPr>
    </w:p>
    <w:p w:rsidR="00E54556" w:rsidRDefault="00E54556" w:rsidP="001E3D8E">
      <w:pPr>
        <w:jc w:val="center"/>
        <w:rPr>
          <w:rFonts w:ascii="Arial" w:hAnsi="Arial" w:cs="Arial"/>
          <w:b/>
          <w:sz w:val="22"/>
          <w:szCs w:val="22"/>
        </w:rPr>
      </w:pPr>
    </w:p>
    <w:p w:rsidR="001E3D8E" w:rsidRDefault="001E3D8E" w:rsidP="001E3D8E">
      <w:pPr>
        <w:jc w:val="center"/>
        <w:rPr>
          <w:rFonts w:ascii="Arial" w:hAnsi="Arial" w:cs="Arial"/>
          <w:b/>
          <w:sz w:val="22"/>
          <w:szCs w:val="22"/>
        </w:rPr>
      </w:pPr>
      <w:r w:rsidRPr="001E3D8E">
        <w:rPr>
          <w:rFonts w:ascii="Arial" w:hAnsi="Arial" w:cs="Arial"/>
          <w:b/>
          <w:sz w:val="22"/>
          <w:szCs w:val="22"/>
        </w:rPr>
        <w:t>Compend</w:t>
      </w:r>
      <w:r>
        <w:rPr>
          <w:rFonts w:ascii="Arial" w:hAnsi="Arial" w:cs="Arial"/>
          <w:b/>
          <w:sz w:val="22"/>
          <w:szCs w:val="22"/>
        </w:rPr>
        <w:t>i</w:t>
      </w:r>
      <w:r w:rsidRPr="001E3D8E">
        <w:rPr>
          <w:rFonts w:ascii="Arial" w:hAnsi="Arial" w:cs="Arial"/>
          <w:b/>
          <w:sz w:val="22"/>
          <w:szCs w:val="22"/>
        </w:rPr>
        <w:t>o</w:t>
      </w:r>
      <w:r>
        <w:rPr>
          <w:rFonts w:ascii="Arial" w:hAnsi="Arial" w:cs="Arial"/>
          <w:b/>
          <w:sz w:val="22"/>
          <w:szCs w:val="22"/>
        </w:rPr>
        <w:t xml:space="preserve"> Normativo del Sector Eléctrico 1994 – Junio 2015 (TOMO II)</w:t>
      </w:r>
      <w:r w:rsidRPr="001E3D8E">
        <w:rPr>
          <w:rFonts w:ascii="Arial" w:hAnsi="Arial" w:cs="Arial"/>
          <w:b/>
          <w:sz w:val="22"/>
          <w:szCs w:val="22"/>
        </w:rPr>
        <w:t xml:space="preserve"> </w:t>
      </w:r>
    </w:p>
    <w:p w:rsidR="00E54556" w:rsidRDefault="00E54556" w:rsidP="001E3D8E">
      <w:pPr>
        <w:jc w:val="center"/>
        <w:rPr>
          <w:rFonts w:ascii="Arial" w:hAnsi="Arial" w:cs="Arial"/>
          <w:b/>
          <w:sz w:val="22"/>
          <w:szCs w:val="22"/>
        </w:rPr>
      </w:pPr>
    </w:p>
    <w:p w:rsidR="00E54556" w:rsidRDefault="00E54556" w:rsidP="001E3D8E">
      <w:pPr>
        <w:jc w:val="center"/>
        <w:rPr>
          <w:rFonts w:ascii="Arial" w:hAnsi="Arial" w:cs="Arial"/>
          <w:b/>
          <w:sz w:val="22"/>
          <w:szCs w:val="22"/>
        </w:rPr>
      </w:pPr>
    </w:p>
    <w:p w:rsidR="00E54556" w:rsidRDefault="00E54556" w:rsidP="001E3D8E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Normativa Eléctrica en el Proceso de Cambio (2006 – 2015) (TOMO III)</w:t>
      </w:r>
    </w:p>
    <w:p w:rsidR="001E3D8E" w:rsidRDefault="001E3D8E" w:rsidP="001E3D8E">
      <w:pPr>
        <w:jc w:val="center"/>
        <w:rPr>
          <w:rFonts w:ascii="Arial" w:hAnsi="Arial" w:cs="Arial"/>
          <w:b/>
          <w:sz w:val="22"/>
          <w:szCs w:val="22"/>
        </w:rPr>
      </w:pPr>
    </w:p>
    <w:p w:rsidR="001E3D8E" w:rsidRPr="001E3D8E" w:rsidRDefault="001E3D8E" w:rsidP="001E3D8E">
      <w:pPr>
        <w:rPr>
          <w:rFonts w:ascii="Arial" w:hAnsi="Arial" w:cs="Arial"/>
          <w:sz w:val="22"/>
          <w:szCs w:val="22"/>
        </w:rPr>
      </w:pPr>
    </w:p>
    <w:p w:rsidR="001E3D8E" w:rsidRPr="001E3D8E" w:rsidRDefault="001E3D8E" w:rsidP="001E3D8E">
      <w:pPr>
        <w:rPr>
          <w:rFonts w:ascii="Arial" w:hAnsi="Arial" w:cs="Arial"/>
          <w:sz w:val="22"/>
          <w:szCs w:val="22"/>
        </w:rPr>
      </w:pPr>
    </w:p>
    <w:p w:rsidR="001E3D8E" w:rsidRPr="001E3D8E" w:rsidRDefault="001E3D8E" w:rsidP="001E3D8E">
      <w:pPr>
        <w:rPr>
          <w:rFonts w:ascii="Arial" w:hAnsi="Arial" w:cs="Arial"/>
          <w:sz w:val="22"/>
          <w:szCs w:val="22"/>
        </w:rPr>
      </w:pPr>
    </w:p>
    <w:p w:rsidR="001E3D8E" w:rsidRPr="001E3D8E" w:rsidRDefault="001E3D8E" w:rsidP="001E3D8E">
      <w:pPr>
        <w:rPr>
          <w:rFonts w:ascii="Arial" w:hAnsi="Arial" w:cs="Arial"/>
          <w:sz w:val="22"/>
          <w:szCs w:val="22"/>
        </w:rPr>
      </w:pPr>
    </w:p>
    <w:p w:rsidR="001E3D8E" w:rsidRPr="001E3D8E" w:rsidRDefault="001E3D8E" w:rsidP="001E3D8E">
      <w:pPr>
        <w:rPr>
          <w:rFonts w:ascii="Arial" w:hAnsi="Arial" w:cs="Arial"/>
          <w:sz w:val="22"/>
          <w:szCs w:val="22"/>
        </w:rPr>
      </w:pPr>
    </w:p>
    <w:p w:rsidR="001E3D8E" w:rsidRPr="001E3D8E" w:rsidRDefault="001E3D8E" w:rsidP="001E3D8E">
      <w:pPr>
        <w:rPr>
          <w:rFonts w:ascii="Arial" w:hAnsi="Arial" w:cs="Arial"/>
          <w:sz w:val="22"/>
          <w:szCs w:val="22"/>
        </w:rPr>
      </w:pPr>
    </w:p>
    <w:p w:rsidR="001E3D8E" w:rsidRPr="001E3D8E" w:rsidRDefault="001E3D8E" w:rsidP="001E3D8E">
      <w:pPr>
        <w:rPr>
          <w:rFonts w:ascii="Arial" w:hAnsi="Arial" w:cs="Arial"/>
          <w:sz w:val="22"/>
          <w:szCs w:val="22"/>
        </w:rPr>
      </w:pPr>
    </w:p>
    <w:p w:rsidR="001E3D8E" w:rsidRPr="001E3D8E" w:rsidRDefault="001E3D8E" w:rsidP="001E3D8E">
      <w:pPr>
        <w:rPr>
          <w:rFonts w:ascii="Arial" w:hAnsi="Arial" w:cs="Arial"/>
          <w:sz w:val="22"/>
          <w:szCs w:val="22"/>
        </w:rPr>
      </w:pPr>
    </w:p>
    <w:p w:rsidR="001E3D8E" w:rsidRPr="001E3D8E" w:rsidRDefault="001E3D8E" w:rsidP="001E3D8E">
      <w:pPr>
        <w:rPr>
          <w:rFonts w:ascii="Arial" w:hAnsi="Arial" w:cs="Arial"/>
          <w:sz w:val="22"/>
          <w:szCs w:val="22"/>
        </w:rPr>
      </w:pPr>
    </w:p>
    <w:p w:rsidR="001E3D8E" w:rsidRPr="001E3D8E" w:rsidRDefault="001E3D8E" w:rsidP="001E3D8E">
      <w:pPr>
        <w:rPr>
          <w:rFonts w:ascii="Arial" w:hAnsi="Arial" w:cs="Arial"/>
          <w:sz w:val="22"/>
          <w:szCs w:val="22"/>
        </w:rPr>
      </w:pPr>
    </w:p>
    <w:p w:rsidR="001E3D8E" w:rsidRPr="001E3D8E" w:rsidRDefault="001E3D8E" w:rsidP="001E3D8E">
      <w:pPr>
        <w:rPr>
          <w:rFonts w:ascii="Arial" w:hAnsi="Arial" w:cs="Arial"/>
          <w:sz w:val="22"/>
          <w:szCs w:val="22"/>
        </w:rPr>
      </w:pPr>
    </w:p>
    <w:p w:rsidR="001E3D8E" w:rsidRPr="001E3D8E" w:rsidRDefault="001E3D8E" w:rsidP="001E3D8E">
      <w:pPr>
        <w:rPr>
          <w:rFonts w:ascii="Arial" w:hAnsi="Arial" w:cs="Arial"/>
          <w:sz w:val="22"/>
          <w:szCs w:val="22"/>
        </w:rPr>
      </w:pPr>
    </w:p>
    <w:p w:rsidR="001E3D8E" w:rsidRPr="001E3D8E" w:rsidRDefault="001E3D8E" w:rsidP="001E3D8E">
      <w:pPr>
        <w:rPr>
          <w:rFonts w:ascii="Arial" w:hAnsi="Arial" w:cs="Arial"/>
          <w:sz w:val="22"/>
          <w:szCs w:val="22"/>
        </w:rPr>
      </w:pPr>
    </w:p>
    <w:p w:rsidR="001E3D8E" w:rsidRPr="001E3D8E" w:rsidRDefault="001E3D8E" w:rsidP="001E3D8E">
      <w:pPr>
        <w:rPr>
          <w:rFonts w:ascii="Arial" w:hAnsi="Arial" w:cs="Arial"/>
          <w:sz w:val="22"/>
          <w:szCs w:val="22"/>
        </w:rPr>
      </w:pPr>
    </w:p>
    <w:p w:rsidR="001E3D8E" w:rsidRPr="001E3D8E" w:rsidRDefault="001E3D8E" w:rsidP="001E3D8E">
      <w:pPr>
        <w:rPr>
          <w:rFonts w:ascii="Arial" w:hAnsi="Arial" w:cs="Arial"/>
          <w:sz w:val="22"/>
          <w:szCs w:val="22"/>
        </w:rPr>
      </w:pPr>
    </w:p>
    <w:p w:rsidR="001E3D8E" w:rsidRPr="001E3D8E" w:rsidRDefault="001E3D8E" w:rsidP="001E3D8E">
      <w:pPr>
        <w:rPr>
          <w:rFonts w:ascii="Arial" w:hAnsi="Arial" w:cs="Arial"/>
          <w:sz w:val="22"/>
          <w:szCs w:val="22"/>
        </w:rPr>
      </w:pPr>
    </w:p>
    <w:p w:rsidR="001E3D8E" w:rsidRDefault="001E3D8E" w:rsidP="001E3D8E">
      <w:pPr>
        <w:rPr>
          <w:rFonts w:ascii="Arial" w:hAnsi="Arial" w:cs="Arial"/>
          <w:sz w:val="22"/>
          <w:szCs w:val="22"/>
        </w:rPr>
      </w:pPr>
    </w:p>
    <w:p w:rsidR="001E3D8E" w:rsidRDefault="001E3D8E" w:rsidP="001E3D8E">
      <w:pPr>
        <w:rPr>
          <w:rFonts w:ascii="Arial" w:hAnsi="Arial" w:cs="Arial"/>
          <w:sz w:val="22"/>
          <w:szCs w:val="22"/>
        </w:rPr>
      </w:pPr>
    </w:p>
    <w:p w:rsidR="001E3D8E" w:rsidRDefault="001E3D8E" w:rsidP="001E3D8E">
      <w:pPr>
        <w:tabs>
          <w:tab w:val="left" w:pos="368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1E3D8E" w:rsidRPr="001E3D8E" w:rsidRDefault="001E3D8E" w:rsidP="001E3D8E">
      <w:pPr>
        <w:tabs>
          <w:tab w:val="left" w:pos="3686"/>
        </w:tabs>
        <w:rPr>
          <w:rFonts w:ascii="Arial" w:hAnsi="Arial" w:cs="Arial"/>
          <w:sz w:val="22"/>
          <w:szCs w:val="22"/>
        </w:rPr>
      </w:pPr>
    </w:p>
    <w:sectPr w:rsidR="001E3D8E" w:rsidRPr="001E3D8E" w:rsidSect="0029789B">
      <w:footerReference w:type="default" r:id="rId6"/>
      <w:pgSz w:w="11907" w:h="16839" w:code="9"/>
      <w:pgMar w:top="1418" w:right="1701" w:bottom="1418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4C87" w:rsidRDefault="00FC4C87" w:rsidP="002A2D4B">
      <w:r>
        <w:separator/>
      </w:r>
    </w:p>
  </w:endnote>
  <w:endnote w:type="continuationSeparator" w:id="0">
    <w:p w:rsidR="00FC4C87" w:rsidRDefault="00FC4C87" w:rsidP="002A2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D4B" w:rsidRDefault="002A2D4B" w:rsidP="002A2D4B">
    <w:pPr>
      <w:pStyle w:val="Piedepgina"/>
      <w:tabs>
        <w:tab w:val="center" w:pos="4252"/>
        <w:tab w:val="right" w:pos="8504"/>
      </w:tabs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Anexo “A-1”, </w:t>
    </w:r>
    <w:r w:rsidRPr="000B0AA4">
      <w:rPr>
        <w:rFonts w:ascii="Arial" w:hAnsi="Arial" w:cs="Arial"/>
        <w:sz w:val="16"/>
        <w:szCs w:val="16"/>
        <w:lang w:val="es-ES"/>
      </w:rPr>
      <w:t xml:space="preserve">Página </w:t>
    </w:r>
    <w:r w:rsidRPr="000B0AA4">
      <w:rPr>
        <w:rFonts w:ascii="Arial" w:hAnsi="Arial" w:cs="Arial"/>
        <w:bCs/>
        <w:sz w:val="16"/>
        <w:szCs w:val="16"/>
      </w:rPr>
      <w:fldChar w:fldCharType="begin"/>
    </w:r>
    <w:r w:rsidRPr="000B0AA4">
      <w:rPr>
        <w:rFonts w:ascii="Arial" w:hAnsi="Arial" w:cs="Arial"/>
        <w:bCs/>
        <w:sz w:val="16"/>
        <w:szCs w:val="16"/>
      </w:rPr>
      <w:instrText>PAGE</w:instrText>
    </w:r>
    <w:r w:rsidRPr="000B0AA4">
      <w:rPr>
        <w:rFonts w:ascii="Arial" w:hAnsi="Arial" w:cs="Arial"/>
        <w:bCs/>
        <w:sz w:val="16"/>
        <w:szCs w:val="16"/>
      </w:rPr>
      <w:fldChar w:fldCharType="separate"/>
    </w:r>
    <w:r w:rsidR="00995EA8">
      <w:rPr>
        <w:rFonts w:ascii="Arial" w:hAnsi="Arial" w:cs="Arial"/>
        <w:bCs/>
        <w:noProof/>
        <w:sz w:val="16"/>
        <w:szCs w:val="16"/>
      </w:rPr>
      <w:t>1</w:t>
    </w:r>
    <w:r w:rsidRPr="000B0AA4">
      <w:rPr>
        <w:rFonts w:ascii="Arial" w:hAnsi="Arial" w:cs="Arial"/>
        <w:bCs/>
        <w:sz w:val="16"/>
        <w:szCs w:val="16"/>
      </w:rPr>
      <w:fldChar w:fldCharType="end"/>
    </w:r>
    <w:r w:rsidRPr="000B0AA4">
      <w:rPr>
        <w:rFonts w:ascii="Arial" w:hAnsi="Arial" w:cs="Arial"/>
        <w:sz w:val="16"/>
        <w:szCs w:val="16"/>
        <w:lang w:val="es-ES"/>
      </w:rPr>
      <w:t xml:space="preserve"> de </w:t>
    </w:r>
    <w:r>
      <w:rPr>
        <w:rFonts w:ascii="Arial" w:hAnsi="Arial" w:cs="Arial"/>
        <w:bCs/>
        <w:sz w:val="16"/>
        <w:szCs w:val="16"/>
      </w:rPr>
      <w:t>1</w:t>
    </w:r>
  </w:p>
  <w:p w:rsidR="002A2D4B" w:rsidRDefault="002A2D4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4C87" w:rsidRDefault="00FC4C87" w:rsidP="002A2D4B">
      <w:r>
        <w:separator/>
      </w:r>
    </w:p>
  </w:footnote>
  <w:footnote w:type="continuationSeparator" w:id="0">
    <w:p w:rsidR="00FC4C87" w:rsidRDefault="00FC4C87" w:rsidP="002A2D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D8E"/>
    <w:rsid w:val="00017D1A"/>
    <w:rsid w:val="001E3D8E"/>
    <w:rsid w:val="0029789B"/>
    <w:rsid w:val="002A2D4B"/>
    <w:rsid w:val="003E065F"/>
    <w:rsid w:val="004600F0"/>
    <w:rsid w:val="006F7EED"/>
    <w:rsid w:val="00827780"/>
    <w:rsid w:val="00995997"/>
    <w:rsid w:val="00995EA8"/>
    <w:rsid w:val="009A484D"/>
    <w:rsid w:val="009A6E33"/>
    <w:rsid w:val="00A522B5"/>
    <w:rsid w:val="00C808D7"/>
    <w:rsid w:val="00E54556"/>
    <w:rsid w:val="00FC4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91BB87-28B3-4F92-8A3C-058E8FCA9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E3D8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E3D8E"/>
    <w:rPr>
      <w:rFonts w:ascii="Tahoma" w:eastAsia="Times New Roman" w:hAnsi="Tahoma" w:cs="Tahoma"/>
      <w:sz w:val="16"/>
      <w:szCs w:val="16"/>
      <w:lang w:val="es-ES_tradnl" w:eastAsia="es-ES"/>
    </w:rPr>
  </w:style>
  <w:style w:type="paragraph" w:styleId="Encabezado">
    <w:name w:val="header"/>
    <w:basedOn w:val="Normal"/>
    <w:link w:val="EncabezadoCar"/>
    <w:uiPriority w:val="99"/>
    <w:unhideWhenUsed/>
    <w:rsid w:val="002A2D4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A2D4B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2A2D4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A2D4B"/>
    <w:rPr>
      <w:rFonts w:ascii="Times New Roman" w:eastAsia="Times New Roman" w:hAnsi="Times New Roman" w:cs="Times New Roman"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75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Carla Vanessa Reque Montealegre</dc:creator>
  <cp:lastModifiedBy>Gilka Wara Aneyba Ivanovic</cp:lastModifiedBy>
  <cp:revision>2</cp:revision>
  <cp:lastPrinted>2019-01-24T14:20:00Z</cp:lastPrinted>
  <dcterms:created xsi:type="dcterms:W3CDTF">2026-02-02T21:40:00Z</dcterms:created>
  <dcterms:modified xsi:type="dcterms:W3CDTF">2026-02-02T21:40:00Z</dcterms:modified>
</cp:coreProperties>
</file>